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</w:tblGrid>
      <w:tr w:rsidR="00D30D0B">
        <w:trPr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</w:tbl>
    <w:p w:rsidR="00F81562" w:rsidRPr="00010BE7" w:rsidRDefault="00F81562" w:rsidP="00F81562">
      <w:pPr>
        <w:autoSpaceDE w:val="0"/>
        <w:spacing w:line="340" w:lineRule="exact"/>
        <w:jc w:val="right"/>
        <w:rPr>
          <w:rFonts w:ascii="Segoe UI" w:hAnsi="Segoe UI" w:cs="Segoe UI"/>
          <w:bCs/>
          <w:sz w:val="28"/>
          <w:szCs w:val="28"/>
        </w:rPr>
      </w:pPr>
      <w:r w:rsidRPr="00010BE7">
        <w:rPr>
          <w:rFonts w:ascii="Segoe UI" w:eastAsia="Segoe UI" w:hAnsi="Segoe UI" w:cs="Segoe UI"/>
          <w:bCs/>
          <w:color w:val="000000"/>
          <w:sz w:val="28"/>
          <w:szCs w:val="28"/>
        </w:rPr>
        <w:t>Приложение 1</w:t>
      </w:r>
    </w:p>
    <w:p w:rsidR="00F81562" w:rsidRPr="00010BE7" w:rsidRDefault="00F81562" w:rsidP="00F81562">
      <w:pPr>
        <w:jc w:val="center"/>
        <w:rPr>
          <w:rFonts w:ascii="Segoe UI" w:hAnsi="Segoe UI" w:cs="Segoe UI"/>
          <w:bCs/>
          <w:sz w:val="28"/>
          <w:szCs w:val="28"/>
        </w:rPr>
      </w:pPr>
    </w:p>
    <w:p w:rsidR="00F81562" w:rsidRPr="00010BE7" w:rsidRDefault="00F81562" w:rsidP="00F81562">
      <w:pPr>
        <w:jc w:val="center"/>
        <w:rPr>
          <w:rFonts w:ascii="Segoe UI" w:hAnsi="Segoe UI" w:cs="Segoe UI"/>
          <w:bCs/>
          <w:sz w:val="28"/>
          <w:szCs w:val="28"/>
        </w:rPr>
      </w:pPr>
      <w:r w:rsidRPr="00010BE7">
        <w:rPr>
          <w:rFonts w:ascii="Segoe UI" w:hAnsi="Segoe UI" w:cs="Segoe UI"/>
          <w:bCs/>
          <w:sz w:val="28"/>
          <w:szCs w:val="28"/>
        </w:rPr>
        <w:t>ВИДЕОЛЕКЦИИ И ВЕБИНАРЫ ДЛЯ КАДАСТРОВЫХ ИНЖЕНЕРОВ</w:t>
      </w:r>
    </w:p>
    <w:p w:rsidR="00F81562" w:rsidRPr="00010BE7" w:rsidRDefault="00F81562" w:rsidP="00F81562">
      <w:pPr>
        <w:jc w:val="center"/>
        <w:rPr>
          <w:rFonts w:ascii="Segoe UI" w:hAnsi="Segoe UI" w:cs="Segoe UI"/>
          <w:bCs/>
          <w:sz w:val="28"/>
          <w:szCs w:val="28"/>
        </w:rPr>
      </w:pP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 w:rsidRPr="00010BE7">
        <w:rPr>
          <w:rFonts w:ascii="Segoe UI" w:hAnsi="Segoe UI" w:cs="Segoe UI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w:history="1">
        <w:r w:rsidRPr="00010BE7">
          <w:rPr>
            <w:rStyle w:val="a3"/>
            <w:rFonts w:ascii="Segoe UI" w:hAnsi="Segoe UI" w:cs="Segoe UI"/>
            <w:sz w:val="28"/>
            <w:szCs w:val="28"/>
          </w:rPr>
          <w:t>www.kadastr.ru</w:t>
        </w:r>
      </w:hyperlink>
      <w:r w:rsidRPr="00010BE7">
        <w:rPr>
          <w:rFonts w:ascii="Segoe UI" w:hAnsi="Segoe UI" w:cs="Segoe UI"/>
          <w:sz w:val="28"/>
          <w:szCs w:val="28"/>
        </w:rPr>
        <w:t xml:space="preserve"> нового раздела «</w:t>
      </w:r>
      <w:hyperlink r:id="rId6" w:history="1">
        <w:r w:rsidRPr="00010BE7">
          <w:rPr>
            <w:rStyle w:val="a3"/>
            <w:rFonts w:ascii="Segoe UI" w:hAnsi="Segoe UI"/>
          </w:rPr>
          <w:t xml:space="preserve">Лекции и </w:t>
        </w:r>
        <w:proofErr w:type="spellStart"/>
        <w:r w:rsidRPr="00010BE7">
          <w:rPr>
            <w:rStyle w:val="a3"/>
            <w:rFonts w:ascii="Segoe UI" w:hAnsi="Segoe UI"/>
          </w:rPr>
          <w:t>вебинары</w:t>
        </w:r>
        <w:proofErr w:type="spellEnd"/>
      </w:hyperlink>
      <w:r w:rsidRPr="00010BE7">
        <w:rPr>
          <w:rFonts w:ascii="Segoe UI" w:hAnsi="Segoe UI" w:cs="Segoe UI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 w:rsidRPr="00010BE7">
        <w:rPr>
          <w:rFonts w:ascii="Segoe UI" w:hAnsi="Segoe UI" w:cs="Segoe UI"/>
          <w:sz w:val="28"/>
          <w:szCs w:val="28"/>
        </w:rPr>
        <w:t xml:space="preserve">В новом разделе будут размещены </w:t>
      </w:r>
      <w:proofErr w:type="spellStart"/>
      <w:r w:rsidRPr="00010BE7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Pr="00010BE7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010BE7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010BE7">
        <w:rPr>
          <w:rFonts w:ascii="Segoe UI" w:hAnsi="Segoe UI" w:cs="Segoe UI"/>
          <w:sz w:val="28"/>
          <w:szCs w:val="28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7" w:history="1">
        <w:r w:rsidRPr="00010BE7">
          <w:rPr>
            <w:rStyle w:val="a3"/>
            <w:rFonts w:ascii="Segoe UI" w:hAnsi="Segoe UI"/>
          </w:rPr>
          <w:t>зарегистрироваться</w:t>
        </w:r>
      </w:hyperlink>
      <w:r w:rsidRPr="00010BE7">
        <w:rPr>
          <w:rFonts w:ascii="Segoe UI" w:hAnsi="Segoe UI" w:cs="Segoe UI"/>
          <w:sz w:val="28"/>
          <w:szCs w:val="28"/>
        </w:rPr>
        <w:t>.</w:t>
      </w: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 w:rsidRPr="00010BE7">
        <w:rPr>
          <w:rFonts w:ascii="Segoe UI" w:hAnsi="Segoe UI" w:cs="Segoe UI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8" w:history="1">
        <w:r w:rsidRPr="00010BE7">
          <w:rPr>
            <w:rStyle w:val="a3"/>
            <w:rFonts w:ascii="Segoe UI" w:hAnsi="Segoe UI"/>
          </w:rPr>
          <w:t xml:space="preserve">Лекции и </w:t>
        </w:r>
        <w:proofErr w:type="spellStart"/>
        <w:r w:rsidRPr="00010BE7">
          <w:rPr>
            <w:rStyle w:val="a3"/>
            <w:rFonts w:ascii="Segoe UI" w:hAnsi="Segoe UI"/>
          </w:rPr>
          <w:t>вебинары</w:t>
        </w:r>
        <w:proofErr w:type="spellEnd"/>
      </w:hyperlink>
      <w:r w:rsidRPr="00010BE7">
        <w:rPr>
          <w:rFonts w:ascii="Segoe UI" w:hAnsi="Segoe UI" w:cs="Segoe UI"/>
          <w:sz w:val="28"/>
          <w:szCs w:val="28"/>
        </w:rPr>
        <w:t xml:space="preserve">». Зарегистрированные пользователи будут получать сообщения о размещении </w:t>
      </w:r>
      <w:proofErr w:type="gramStart"/>
      <w:r w:rsidRPr="00010BE7">
        <w:rPr>
          <w:rFonts w:ascii="Segoe UI" w:hAnsi="Segoe UI" w:cs="Segoe UI"/>
          <w:sz w:val="28"/>
          <w:szCs w:val="28"/>
        </w:rPr>
        <w:t>новых</w:t>
      </w:r>
      <w:proofErr w:type="gramEnd"/>
      <w:r w:rsidRPr="00010BE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010BE7">
        <w:rPr>
          <w:rFonts w:ascii="Segoe UI" w:hAnsi="Segoe UI" w:cs="Segoe UI"/>
          <w:sz w:val="28"/>
          <w:szCs w:val="28"/>
        </w:rPr>
        <w:t>видеолекций</w:t>
      </w:r>
      <w:proofErr w:type="spellEnd"/>
      <w:r w:rsidRPr="00010BE7">
        <w:rPr>
          <w:rFonts w:ascii="Segoe UI" w:hAnsi="Segoe UI" w:cs="Segoe UI"/>
          <w:sz w:val="28"/>
          <w:szCs w:val="28"/>
        </w:rPr>
        <w:t xml:space="preserve"> и приглашения на </w:t>
      </w:r>
      <w:proofErr w:type="spellStart"/>
      <w:r w:rsidRPr="00010BE7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010BE7">
        <w:rPr>
          <w:rFonts w:ascii="Segoe UI" w:hAnsi="Segoe UI" w:cs="Segoe UI"/>
          <w:sz w:val="28"/>
          <w:szCs w:val="28"/>
        </w:rPr>
        <w:t xml:space="preserve">. Кроме того, для зарегистрированных пользователей предусмотрена возможность </w:t>
      </w:r>
      <w:hyperlink r:id="rId9" w:history="1">
        <w:r w:rsidRPr="00010BE7">
          <w:rPr>
            <w:rStyle w:val="a3"/>
            <w:rFonts w:ascii="Segoe UI" w:hAnsi="Segoe UI"/>
          </w:rPr>
          <w:t xml:space="preserve">заказа тем </w:t>
        </w:r>
        <w:proofErr w:type="spellStart"/>
        <w:r w:rsidRPr="00010BE7">
          <w:rPr>
            <w:rStyle w:val="a3"/>
            <w:rFonts w:ascii="Segoe UI" w:hAnsi="Segoe UI"/>
          </w:rPr>
          <w:t>видеолекций</w:t>
        </w:r>
        <w:proofErr w:type="spellEnd"/>
        <w:r w:rsidRPr="00010BE7">
          <w:rPr>
            <w:rStyle w:val="a3"/>
            <w:rFonts w:ascii="Segoe UI" w:hAnsi="Segoe UI"/>
          </w:rPr>
          <w:t xml:space="preserve"> и </w:t>
        </w:r>
        <w:proofErr w:type="spellStart"/>
        <w:r w:rsidRPr="00010BE7">
          <w:rPr>
            <w:rStyle w:val="a3"/>
            <w:rFonts w:ascii="Segoe UI" w:hAnsi="Segoe UI"/>
          </w:rPr>
          <w:t>вебинаров</w:t>
        </w:r>
        <w:proofErr w:type="spellEnd"/>
      </w:hyperlink>
      <w:r w:rsidRPr="00010BE7">
        <w:rPr>
          <w:rFonts w:ascii="Segoe UI" w:hAnsi="Segoe UI" w:cs="Segoe UI"/>
          <w:sz w:val="28"/>
          <w:szCs w:val="28"/>
        </w:rPr>
        <w:t>, а также размещения комментариев, отзывов и предложений.</w:t>
      </w: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 w:rsidRPr="00010BE7">
        <w:rPr>
          <w:rFonts w:ascii="Segoe UI" w:hAnsi="Segoe UI" w:cs="Segoe UI"/>
          <w:sz w:val="28"/>
          <w:szCs w:val="28"/>
        </w:rPr>
        <w:t xml:space="preserve">Интернет-адрес страницы раздела: </w:t>
      </w:r>
      <w:hyperlink r:id="rId10" w:history="1">
        <w:r w:rsidRPr="00010BE7">
          <w:rPr>
            <w:rStyle w:val="a3"/>
            <w:rFonts w:ascii="Segoe UI" w:hAnsi="Segoe UI"/>
          </w:rPr>
          <w:t>webinar.kadastr.ru</w:t>
        </w:r>
      </w:hyperlink>
      <w:r w:rsidRPr="00010BE7">
        <w:rPr>
          <w:rFonts w:ascii="Segoe UI" w:hAnsi="Segoe UI" w:cs="Segoe UI"/>
          <w:sz w:val="28"/>
          <w:szCs w:val="28"/>
        </w:rPr>
        <w:t xml:space="preserve">. Ссылка на него постоянно размещена на </w:t>
      </w:r>
      <w:hyperlink r:id="rId11" w:history="1">
        <w:r w:rsidRPr="00010BE7">
          <w:rPr>
            <w:rStyle w:val="a3"/>
            <w:rFonts w:ascii="Segoe UI" w:hAnsi="Segoe UI"/>
          </w:rPr>
          <w:t>главной странице</w:t>
        </w:r>
      </w:hyperlink>
      <w:r w:rsidRPr="00010BE7">
        <w:rPr>
          <w:rFonts w:ascii="Segoe UI" w:hAnsi="Segoe UI" w:cs="Segoe UI"/>
          <w:sz w:val="28"/>
          <w:szCs w:val="28"/>
        </w:rPr>
        <w:t xml:space="preserve"> сайта Кадастровой палаты.</w:t>
      </w: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 w:rsidRPr="00010BE7">
        <w:rPr>
          <w:rFonts w:ascii="Segoe UI" w:hAnsi="Segoe UI" w:cs="Segoe UI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2" w:history="1">
        <w:r w:rsidRPr="00010BE7">
          <w:rPr>
            <w:rStyle w:val="a3"/>
            <w:rFonts w:ascii="Segoe UI" w:hAnsi="Segoe UI"/>
          </w:rPr>
          <w:t>infowebinar@kadastr.ru</w:t>
        </w:r>
      </w:hyperlink>
      <w:r w:rsidRPr="00010BE7">
        <w:rPr>
          <w:rFonts w:ascii="Segoe UI" w:hAnsi="Segoe UI" w:cs="Segoe UI"/>
          <w:sz w:val="28"/>
          <w:szCs w:val="28"/>
        </w:rPr>
        <w:t xml:space="preserve">. </w:t>
      </w:r>
    </w:p>
    <w:p w:rsidR="00F81562" w:rsidRPr="00010BE7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</w:p>
    <w:p w:rsidR="00F81562" w:rsidRPr="00010BE7" w:rsidRDefault="00F81562" w:rsidP="00F81562">
      <w:pPr>
        <w:spacing w:line="340" w:lineRule="exact"/>
        <w:ind w:firstLine="695"/>
        <w:jc w:val="right"/>
        <w:rPr>
          <w:rFonts w:ascii="Segoe UI" w:eastAsia="Arial" w:hAnsi="Segoe UI" w:cs="Segoe UI"/>
          <w:bCs/>
          <w:color w:val="000000"/>
          <w:sz w:val="28"/>
          <w:szCs w:val="28"/>
        </w:rPr>
      </w:pPr>
      <w:r w:rsidRPr="00010BE7">
        <w:rPr>
          <w:rFonts w:ascii="Segoe UI" w:eastAsia="Arial" w:hAnsi="Segoe UI" w:cs="Segoe UI"/>
          <w:bCs/>
          <w:color w:val="000000"/>
          <w:sz w:val="28"/>
          <w:szCs w:val="28"/>
        </w:rPr>
        <w:t xml:space="preserve">Пресс-служба </w:t>
      </w:r>
    </w:p>
    <w:p w:rsidR="00F81562" w:rsidRPr="00010BE7" w:rsidRDefault="00F81562" w:rsidP="00F81562">
      <w:pPr>
        <w:spacing w:line="340" w:lineRule="exact"/>
        <w:ind w:firstLine="695"/>
        <w:jc w:val="right"/>
        <w:rPr>
          <w:rFonts w:ascii="Segoe UI" w:eastAsia="Arial" w:hAnsi="Segoe UI" w:cs="Segoe UI"/>
          <w:bCs/>
          <w:color w:val="000000"/>
          <w:sz w:val="28"/>
          <w:szCs w:val="28"/>
        </w:rPr>
      </w:pPr>
      <w:r w:rsidRPr="00010BE7">
        <w:rPr>
          <w:rFonts w:ascii="Segoe UI" w:eastAsia="Arial" w:hAnsi="Segoe UI" w:cs="Segoe UI"/>
          <w:bCs/>
          <w:color w:val="000000"/>
          <w:sz w:val="28"/>
          <w:szCs w:val="28"/>
        </w:rPr>
        <w:t xml:space="preserve">Кадастровой палаты </w:t>
      </w:r>
    </w:p>
    <w:p w:rsidR="00F81562" w:rsidRDefault="00F81562" w:rsidP="00F81562">
      <w:pPr>
        <w:autoSpaceDE w:val="0"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 w:rsidRPr="00010BE7">
        <w:rPr>
          <w:rFonts w:ascii="Segoe UI" w:eastAsia="Arial" w:hAnsi="Segoe UI" w:cs="Segoe UI"/>
          <w:bCs/>
          <w:color w:val="000000"/>
          <w:sz w:val="28"/>
          <w:szCs w:val="28"/>
        </w:rPr>
        <w:t>по Республ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ике Башкортостан</w:t>
      </w:r>
    </w:p>
    <w:p w:rsidR="00F81562" w:rsidRDefault="00F81562" w:rsidP="00F81562">
      <w:pPr>
        <w:autoSpaceDE w:val="0"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762B08" w:rsidRDefault="00762B08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Pr="00010BE7" w:rsidRDefault="00F81562" w:rsidP="00F81562">
      <w:pPr>
        <w:widowControl w:val="0"/>
        <w:autoSpaceDE w:val="0"/>
        <w:spacing w:line="340" w:lineRule="exact"/>
        <w:jc w:val="right"/>
        <w:rPr>
          <w:rFonts w:cs="Mangal"/>
          <w:b/>
          <w:bCs/>
          <w:sz w:val="24"/>
          <w:szCs w:val="24"/>
          <w:lang w:eastAsia="hi-IN" w:bidi="hi-IN"/>
        </w:rPr>
      </w:pPr>
      <w:bookmarkStart w:id="0" w:name="_GoBack"/>
      <w:bookmarkEnd w:id="0"/>
      <w:r w:rsidRPr="00010BE7"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  <w:t>Приложение 2</w:t>
      </w:r>
    </w:p>
    <w:p w:rsidR="00F81562" w:rsidRPr="00010BE7" w:rsidRDefault="00F81562" w:rsidP="00F81562">
      <w:pPr>
        <w:widowControl w:val="0"/>
        <w:rPr>
          <w:rFonts w:cs="Mangal"/>
          <w:b/>
          <w:bCs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rPr>
          <w:rFonts w:cs="Mangal"/>
          <w:b/>
          <w:bCs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jc w:val="center"/>
        <w:rPr>
          <w:rFonts w:ascii="Segoe UI" w:hAnsi="Segoe UI" w:cs="Mangal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b/>
          <w:bCs/>
          <w:sz w:val="28"/>
          <w:szCs w:val="28"/>
          <w:lang w:eastAsia="hi-IN" w:bidi="hi-IN"/>
        </w:rPr>
        <w:t>Земельный участок могут снять с кадастрового учета, если право</w:t>
      </w:r>
    </w:p>
    <w:p w:rsidR="00F81562" w:rsidRPr="00010BE7" w:rsidRDefault="00F81562" w:rsidP="00F81562">
      <w:pPr>
        <w:widowControl w:val="0"/>
        <w:jc w:val="center"/>
        <w:rPr>
          <w:rFonts w:ascii="Segoe UI" w:hAnsi="Segoe UI" w:cs="Mangal"/>
          <w:sz w:val="24"/>
          <w:szCs w:val="24"/>
          <w:lang w:eastAsia="hi-IN" w:bidi="hi-IN"/>
        </w:rPr>
      </w:pPr>
      <w:r w:rsidRPr="00010BE7">
        <w:rPr>
          <w:rFonts w:ascii="Segoe UI" w:hAnsi="Segoe UI" w:cs="Mangal"/>
          <w:b/>
          <w:bCs/>
          <w:sz w:val="28"/>
          <w:szCs w:val="28"/>
          <w:lang w:eastAsia="hi-IN" w:bidi="hi-IN"/>
        </w:rPr>
        <w:t>на него не зарегистрировано</w:t>
      </w:r>
    </w:p>
    <w:p w:rsidR="00F81562" w:rsidRPr="00010BE7" w:rsidRDefault="00F81562" w:rsidP="00F81562">
      <w:pPr>
        <w:widowControl w:val="0"/>
        <w:rPr>
          <w:rFonts w:ascii="Segoe UI" w:hAnsi="Segoe UI" w:cs="Mangal"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Mangal"/>
          <w:sz w:val="28"/>
          <w:szCs w:val="28"/>
          <w:lang w:eastAsia="hi-IN" w:bidi="hi-IN"/>
        </w:rPr>
      </w:pPr>
      <w:proofErr w:type="gramStart"/>
      <w:r w:rsidRPr="00010BE7">
        <w:rPr>
          <w:rFonts w:ascii="Segoe UI" w:hAnsi="Segoe UI" w:cs="Mangal"/>
          <w:sz w:val="28"/>
          <w:szCs w:val="28"/>
          <w:lang w:eastAsia="hi-IN" w:bidi="hi-IN"/>
        </w:rPr>
        <w:t>В соответствии с частью 3 статьи 70 Федерального закона орган регистрации прав снимает с государственного кадастрового учета земельные участки, однако  не все из них, а только те, в отношении которых имеют место следующие критерии: во-первых, земельный участок был учтен до 1 марта 2008 года, во-вторых, в Едином государственном реестре недвижимости (ЕГРН) в отношении него отсутствует запись о правообладателе.</w:t>
      </w:r>
      <w:proofErr w:type="gramEnd"/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Mangal"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То есть владелец до настоящего времени по каким-то причинам (не знал, забыл, не хотел платить налоги и т.д.) не зарегистрировал на свой участок какое-либо право или обременение. Такие земельные участки приобретут статус «Архивный». Снятые с кадастрового учета земельные участки приобретают статус свободных (неразграниченных) земель, право </w:t>
      </w:r>
      <w:proofErr w:type="gramStart"/>
      <w:r w:rsidRPr="00010BE7">
        <w:rPr>
          <w:rFonts w:ascii="Segoe UI" w:hAnsi="Segoe UI" w:cs="Mangal"/>
          <w:sz w:val="28"/>
          <w:szCs w:val="28"/>
          <w:lang w:eastAsia="hi-IN" w:bidi="hi-IN"/>
        </w:rPr>
        <w:t>распоряжения</w:t>
      </w:r>
      <w:proofErr w:type="gramEnd"/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 которыми переходит уполномоченному органу местного самоуправления.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Mangal"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В связи с этим Кадастровая палата по Республике Башкортостан рекомендует жителям региона </w:t>
      </w:r>
      <w:proofErr w:type="gramStart"/>
      <w:r w:rsidRPr="00010BE7">
        <w:rPr>
          <w:rFonts w:ascii="Segoe UI" w:hAnsi="Segoe UI" w:cs="Mangal"/>
          <w:sz w:val="28"/>
          <w:szCs w:val="28"/>
          <w:lang w:eastAsia="hi-IN" w:bidi="hi-IN"/>
        </w:rPr>
        <w:t>убедится</w:t>
      </w:r>
      <w:proofErr w:type="gramEnd"/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 в наличии в ЕГРН сведений о правообладателе земельного участка, поставленного на кадастровый учет до 1 марта 2008 года. Для этого необходимо на сайте </w:t>
      </w:r>
      <w:proofErr w:type="spellStart"/>
      <w:r w:rsidRPr="00010BE7">
        <w:rPr>
          <w:rFonts w:ascii="Segoe UI" w:hAnsi="Segoe UI" w:cs="Mangal"/>
          <w:sz w:val="28"/>
          <w:szCs w:val="28"/>
          <w:lang w:eastAsia="hi-IN" w:bidi="hi-IN"/>
        </w:rPr>
        <w:t>Росреестра</w:t>
      </w:r>
      <w:proofErr w:type="spellEnd"/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 в сервисе «Справочная информация об объектах недвижимости в режиме «</w:t>
      </w:r>
      <w:proofErr w:type="spellStart"/>
      <w:r w:rsidRPr="00010BE7">
        <w:rPr>
          <w:rFonts w:ascii="Segoe UI" w:hAnsi="Segoe UI" w:cs="Mangal"/>
          <w:sz w:val="28"/>
          <w:szCs w:val="28"/>
          <w:lang w:eastAsia="hi-IN" w:bidi="hi-IN"/>
        </w:rPr>
        <w:t>online</w:t>
      </w:r>
      <w:proofErr w:type="spellEnd"/>
      <w:r w:rsidRPr="00010BE7">
        <w:rPr>
          <w:rFonts w:ascii="Segoe UI" w:hAnsi="Segoe UI" w:cs="Mangal"/>
          <w:sz w:val="28"/>
          <w:szCs w:val="28"/>
          <w:lang w:eastAsia="hi-IN" w:bidi="hi-IN"/>
        </w:rPr>
        <w:t>» проверить сведения об интересующем земельном участке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Mangal"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Кроме того, можно обратиться с запросом о предоставлении сведений из Единого государственного реестра недвижимости в любое отделение Многофункционального центра предоставления государственных и муниципальных услуг» (МФЦ) или запросить в электронном виде с помощью специального сервиса на портале </w:t>
      </w:r>
      <w:proofErr w:type="spellStart"/>
      <w:r w:rsidRPr="00010BE7">
        <w:rPr>
          <w:rFonts w:ascii="Segoe UI" w:hAnsi="Segoe UI" w:cs="Mangal"/>
          <w:sz w:val="28"/>
          <w:szCs w:val="28"/>
          <w:lang w:eastAsia="hi-IN" w:bidi="hi-IN"/>
        </w:rPr>
        <w:t>Росреестра</w:t>
      </w:r>
      <w:proofErr w:type="spellEnd"/>
      <w:r w:rsidRPr="00010BE7">
        <w:rPr>
          <w:rFonts w:ascii="Segoe UI" w:hAnsi="Segoe UI" w:cs="Mangal"/>
          <w:sz w:val="28"/>
          <w:szCs w:val="28"/>
          <w:lang w:eastAsia="hi-IN" w:bidi="hi-IN"/>
        </w:rPr>
        <w:t xml:space="preserve"> https://rosreestr.ru. 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Mangal"/>
          <w:sz w:val="24"/>
          <w:szCs w:val="24"/>
          <w:lang w:eastAsia="hi-IN" w:bidi="hi-IN"/>
        </w:rPr>
      </w:pPr>
      <w:r w:rsidRPr="00010BE7">
        <w:rPr>
          <w:rFonts w:ascii="Segoe UI" w:hAnsi="Segoe UI" w:cs="Mangal"/>
          <w:sz w:val="28"/>
          <w:szCs w:val="28"/>
          <w:lang w:eastAsia="hi-IN" w:bidi="hi-IN"/>
        </w:rPr>
        <w:t>Если окажется, что в ЕГРН отсутствует запись о праве, необходимо подать документы на регистрацию права собственности в офис МФЦ.</w:t>
      </w:r>
    </w:p>
    <w:p w:rsidR="00F81562" w:rsidRPr="00010BE7" w:rsidRDefault="00F81562" w:rsidP="00F81562">
      <w:pPr>
        <w:widowControl w:val="0"/>
        <w:rPr>
          <w:rFonts w:ascii="Segoe UI" w:hAnsi="Segoe UI" w:cs="Mangal"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jc w:val="right"/>
        <w:rPr>
          <w:rFonts w:ascii="Segoe UI" w:hAnsi="Segoe UI" w:cs="Mangal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b/>
          <w:bCs/>
          <w:sz w:val="28"/>
          <w:szCs w:val="28"/>
          <w:lang w:eastAsia="hi-IN" w:bidi="hi-IN"/>
        </w:rPr>
        <w:t xml:space="preserve">Пресс-служба </w:t>
      </w:r>
    </w:p>
    <w:p w:rsidR="00F81562" w:rsidRPr="00010BE7" w:rsidRDefault="00F81562" w:rsidP="00F81562">
      <w:pPr>
        <w:widowControl w:val="0"/>
        <w:jc w:val="right"/>
        <w:rPr>
          <w:rFonts w:ascii="Segoe UI" w:hAnsi="Segoe UI" w:cs="Mangal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b/>
          <w:bCs/>
          <w:sz w:val="28"/>
          <w:szCs w:val="28"/>
          <w:lang w:eastAsia="hi-IN" w:bidi="hi-IN"/>
        </w:rPr>
        <w:t xml:space="preserve">Кадастровой палаты </w:t>
      </w:r>
    </w:p>
    <w:p w:rsidR="00F81562" w:rsidRPr="00F81562" w:rsidRDefault="00F81562" w:rsidP="00F81562">
      <w:pPr>
        <w:autoSpaceDE w:val="0"/>
        <w:spacing w:line="340" w:lineRule="exact"/>
        <w:ind w:firstLine="695"/>
        <w:jc w:val="right"/>
        <w:rPr>
          <w:rFonts w:ascii="Segoe UI" w:hAnsi="Segoe UI" w:cs="Mangal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Mangal"/>
          <w:b/>
          <w:bCs/>
          <w:sz w:val="28"/>
          <w:szCs w:val="28"/>
          <w:lang w:eastAsia="hi-IN" w:bidi="hi-IN"/>
        </w:rPr>
        <w:t>по Республике Башкорто</w:t>
      </w:r>
      <w:r>
        <w:rPr>
          <w:rFonts w:ascii="Segoe UI" w:hAnsi="Segoe UI" w:cs="Mangal"/>
          <w:b/>
          <w:bCs/>
          <w:sz w:val="28"/>
          <w:szCs w:val="28"/>
          <w:lang w:eastAsia="hi-IN" w:bidi="hi-IN"/>
        </w:rPr>
        <w:t>стан</w:t>
      </w: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Default="00F81562" w:rsidP="00F81562">
      <w:pPr>
        <w:widowControl w:val="0"/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</w:pPr>
    </w:p>
    <w:p w:rsidR="00F81562" w:rsidRPr="00010BE7" w:rsidRDefault="00F81562" w:rsidP="00F81562">
      <w:pPr>
        <w:widowControl w:val="0"/>
        <w:autoSpaceDE w:val="0"/>
        <w:spacing w:line="340" w:lineRule="exact"/>
        <w:jc w:val="right"/>
        <w:rPr>
          <w:rFonts w:cs="Mangal"/>
          <w:b/>
          <w:bCs/>
          <w:sz w:val="24"/>
          <w:szCs w:val="24"/>
          <w:lang w:eastAsia="hi-IN" w:bidi="hi-IN"/>
        </w:rPr>
      </w:pPr>
      <w:r w:rsidRPr="00010BE7">
        <w:rPr>
          <w:rFonts w:ascii="Segoe UI" w:eastAsia="Segoe UI" w:hAnsi="Segoe UI" w:cs="Segoe UI"/>
          <w:b/>
          <w:bCs/>
          <w:color w:val="000000"/>
          <w:sz w:val="28"/>
          <w:szCs w:val="28"/>
          <w:lang w:eastAsia="hi-IN" w:bidi="hi-IN"/>
        </w:rPr>
        <w:t>Приложение 3</w:t>
      </w:r>
    </w:p>
    <w:p w:rsidR="00F81562" w:rsidRPr="00010BE7" w:rsidRDefault="00F81562" w:rsidP="00F81562">
      <w:pPr>
        <w:widowControl w:val="0"/>
        <w:rPr>
          <w:rFonts w:cs="Mangal"/>
          <w:b/>
          <w:bCs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jc w:val="center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Новый федеральный закон о садоводстве и огородничестве с 1 января 2019 года: Как отличить сад от огорода</w:t>
      </w:r>
    </w:p>
    <w:p w:rsidR="00F81562" w:rsidRPr="00010BE7" w:rsidRDefault="00F81562" w:rsidP="00F81562">
      <w:pPr>
        <w:widowControl w:val="0"/>
        <w:jc w:val="center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В связи с вступлением в силу Федерального закона о садоводстве и огородничестве у многих жителей региона возникают вопросы.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На самые актуальные из них ответил заместитель начальник отдела обработки документов и обеспечения учётных действий Кадастровой палаты по Республике Башкортостан </w:t>
      </w:r>
      <w:proofErr w:type="spellStart"/>
      <w:r w:rsidRPr="00010BE7">
        <w:rPr>
          <w:rFonts w:ascii="Segoe UI" w:hAnsi="Segoe UI" w:cs="Segoe UI"/>
          <w:sz w:val="28"/>
          <w:szCs w:val="28"/>
          <w:lang w:eastAsia="hi-IN" w:bidi="hi-IN"/>
        </w:rPr>
        <w:t>Рашит</w:t>
      </w:r>
      <w:proofErr w:type="spellEnd"/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 </w:t>
      </w:r>
      <w:proofErr w:type="spellStart"/>
      <w:r w:rsidRPr="00010BE7">
        <w:rPr>
          <w:rFonts w:ascii="Segoe UI" w:hAnsi="Segoe UI" w:cs="Segoe UI"/>
          <w:sz w:val="28"/>
          <w:szCs w:val="28"/>
          <w:lang w:eastAsia="hi-IN" w:bidi="hi-IN"/>
        </w:rPr>
        <w:t>Якупов</w:t>
      </w:r>
      <w:proofErr w:type="spellEnd"/>
      <w:r w:rsidRPr="00010BE7">
        <w:rPr>
          <w:rFonts w:ascii="Segoe UI" w:hAnsi="Segoe UI" w:cs="Segoe UI"/>
          <w:sz w:val="28"/>
          <w:szCs w:val="28"/>
          <w:lang w:eastAsia="hi-IN" w:bidi="hi-IN"/>
        </w:rPr>
        <w:t>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— Как теперь будут классифицироваться старые дома на дачах?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В новом федеральном законе, регулирующем вопросы ведения гражданами садоводства и огородничества, данный вопрос решается исходя из назначения соответствующей постройки. В частности, установлено, что расположенные на садовых земельных участках здания, сведения о которых были внесены в Единый государственный реестр недвижимости до 1 января 2019 года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В свою очередь, расположенные на садовых земельных участках здания, которые до 1 января 2019 года были поставлены на государственный кадастровый учет с назначением «жилое», «жилое строение», признаются жилыми домами.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— Как сам «дачник» может определить, к какому типу относится его дом?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В законе дается четкое разграничение вариантов возможного использования построек, исходя из этого «дачник» самостоятельно может определить, к какому типу относится его дом. 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Так, садовый дом – это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Жилой дом — индивидуально-определённое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Хозяйственные постройки —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При этом садовый дом может быть признан жилым домом, жилой дом может быть признан садовым домом в порядке, предусмотренном Правительством РФ. Хозяйственные же постройки не могут менять своего </w:t>
      </w:r>
      <w:r w:rsidRPr="00010BE7">
        <w:rPr>
          <w:rFonts w:ascii="Segoe UI" w:hAnsi="Segoe UI" w:cs="Segoe UI"/>
          <w:sz w:val="28"/>
          <w:szCs w:val="28"/>
          <w:lang w:eastAsia="hi-IN" w:bidi="hi-IN"/>
        </w:rPr>
        <w:lastRenderedPageBreak/>
        <w:t>назначения.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В том случае, если информация об объекте недвижимости отсутствует в Едином государственном реестре недвижимости, то определить назначение данного строения, подлежащего кадастровому учёту, должен кадастровый инженер.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— Кто будет решать, земельный участок является огородом или дачей?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Существование «дачных земельных участков» не предусмотрено, в </w:t>
      </w:r>
      <w:proofErr w:type="gramStart"/>
      <w:r w:rsidRPr="00010BE7">
        <w:rPr>
          <w:rFonts w:ascii="Segoe UI" w:hAnsi="Segoe UI" w:cs="Segoe UI"/>
          <w:sz w:val="28"/>
          <w:szCs w:val="28"/>
          <w:lang w:eastAsia="hi-IN" w:bidi="hi-IN"/>
        </w:rPr>
        <w:t>связи</w:t>
      </w:r>
      <w:proofErr w:type="gramEnd"/>
      <w:r w:rsidRPr="00010BE7">
        <w:rPr>
          <w:rFonts w:ascii="Segoe UI" w:hAnsi="Segoe UI" w:cs="Segoe UI"/>
          <w:sz w:val="28"/>
          <w:szCs w:val="28"/>
          <w:lang w:eastAsia="hi-IN" w:bidi="hi-IN"/>
        </w:rPr>
        <w:t xml:space="preserve"> с чем есть специальные правила отнесения к тому или иному типу: виды разрешённого использования, как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строительства», содержащиеся в ЕГРН или указанные в правоустанавливающих или иных документах, считаются равнозначными. Земельные участки с такими видами разрешённого использования являются садовыми земельными участками.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Такие же виды разрешённого использования, как «огородный земельный участок», «для огородничества» и «для ведения огородничества», содержащиеся в ЕГРН или указанные в правоустанавливающих или иных документах, считаются равнозначными. Земельные участки с такими видами разрешённого использования являются огородными земельными участками.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При этом замена ранее выданных документов или внесение изменений в такие документы, записи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 xml:space="preserve">— Каков алгоритм перевода земельного </w:t>
      </w:r>
      <w:proofErr w:type="spellStart"/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участука</w:t>
      </w:r>
      <w:proofErr w:type="spellEnd"/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 xml:space="preserve"> из одного в другое?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Если говорить об алгоритме перевода «садового участка» в «огородный» и наоборот, то здесь речь может идти лишь об определённом законодательном порядке изменения вида разрешённого использования земельного участка.</w:t>
      </w:r>
    </w:p>
    <w:p w:rsidR="00F81562" w:rsidRPr="00010BE7" w:rsidRDefault="00F81562" w:rsidP="00F81562">
      <w:pPr>
        <w:widowControl w:val="0"/>
        <w:ind w:firstLine="726"/>
        <w:jc w:val="both"/>
        <w:rPr>
          <w:rFonts w:ascii="Segoe UI" w:hAnsi="Segoe UI" w:cs="Segoe UI"/>
          <w:sz w:val="24"/>
          <w:szCs w:val="24"/>
          <w:lang w:eastAsia="hi-IN" w:bidi="hi-IN"/>
        </w:rPr>
      </w:pPr>
      <w:r w:rsidRPr="00010BE7">
        <w:rPr>
          <w:rFonts w:ascii="Segoe UI" w:hAnsi="Segoe UI" w:cs="Segoe UI"/>
          <w:sz w:val="28"/>
          <w:szCs w:val="28"/>
          <w:lang w:eastAsia="hi-IN" w:bidi="hi-IN"/>
        </w:rPr>
        <w:t>Такой перевод возможен, если вид разрешенного использования, который хочет выбрать правообладатель, предусмотрен в той территориальной зоне, в которой расположен его земельный участок. При соблюдении данного условия необходимо будет через МФЦ (многофункциональный центр) подать соответствующее заявление в орган регистрации прав.</w:t>
      </w:r>
    </w:p>
    <w:p w:rsidR="00F81562" w:rsidRPr="00010BE7" w:rsidRDefault="00F81562" w:rsidP="00F81562">
      <w:pPr>
        <w:widowControl w:val="0"/>
        <w:rPr>
          <w:rFonts w:ascii="Segoe UI" w:hAnsi="Segoe UI" w:cs="Segoe UI"/>
          <w:sz w:val="24"/>
          <w:szCs w:val="24"/>
          <w:lang w:eastAsia="hi-IN" w:bidi="hi-IN"/>
        </w:rPr>
      </w:pPr>
    </w:p>
    <w:p w:rsidR="00F81562" w:rsidRPr="00010BE7" w:rsidRDefault="00F81562" w:rsidP="00F81562">
      <w:pPr>
        <w:widowControl w:val="0"/>
        <w:jc w:val="right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 xml:space="preserve">Пресс-служба </w:t>
      </w:r>
    </w:p>
    <w:p w:rsidR="00F81562" w:rsidRPr="00010BE7" w:rsidRDefault="00F81562" w:rsidP="00F81562">
      <w:pPr>
        <w:widowControl w:val="0"/>
        <w:jc w:val="right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 xml:space="preserve">Кадастровой палаты </w:t>
      </w:r>
    </w:p>
    <w:p w:rsidR="00CE4343" w:rsidRDefault="00F81562" w:rsidP="00F81562">
      <w:pPr>
        <w:spacing w:line="340" w:lineRule="exact"/>
        <w:jc w:val="right"/>
        <w:rPr>
          <w:rFonts w:ascii="Segoe UI" w:hAnsi="Segoe UI" w:cs="Segoe UI"/>
          <w:b/>
          <w:bCs/>
          <w:sz w:val="28"/>
          <w:szCs w:val="28"/>
          <w:lang w:eastAsia="hi-IN" w:bidi="hi-IN"/>
        </w:rPr>
      </w:pPr>
      <w:r w:rsidRPr="00010BE7">
        <w:rPr>
          <w:rFonts w:ascii="Segoe UI" w:hAnsi="Segoe UI" w:cs="Segoe UI"/>
          <w:b/>
          <w:bCs/>
          <w:sz w:val="28"/>
          <w:szCs w:val="28"/>
          <w:lang w:eastAsia="hi-IN" w:bidi="hi-IN"/>
        </w:rPr>
        <w:t>по Республ</w:t>
      </w:r>
      <w:r>
        <w:rPr>
          <w:rFonts w:ascii="Segoe UI" w:hAnsi="Segoe UI" w:cs="Segoe UI"/>
          <w:b/>
          <w:bCs/>
          <w:sz w:val="28"/>
          <w:szCs w:val="28"/>
          <w:lang w:eastAsia="hi-IN" w:bidi="hi-IN"/>
        </w:rPr>
        <w:t>ике Башкортостан</w:t>
      </w:r>
    </w:p>
    <w:p w:rsidR="00F81562" w:rsidRDefault="00F81562" w:rsidP="00F81562">
      <w:pPr>
        <w:autoSpaceDE w:val="0"/>
        <w:spacing w:line="340" w:lineRule="exac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b/>
          <w:bCs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Приложение 4</w:t>
      </w: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jc w:val="center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sz w:val="32"/>
          <w:szCs w:val="32"/>
        </w:rPr>
        <w:t>Срок действия выписки из ЕГРН</w:t>
      </w:r>
    </w:p>
    <w:p w:rsidR="00F81562" w:rsidRDefault="00F81562" w:rsidP="00F81562">
      <w:pPr>
        <w:rPr>
          <w:rFonts w:ascii="Segoe UI" w:hAnsi="Segoe UI"/>
          <w:sz w:val="28"/>
          <w:szCs w:val="28"/>
        </w:rPr>
      </w:pP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В соответствии с Федеральным законом "О государственной регистрации недвижимости" сведения, содержащиеся в Едином государственном реестре недвижимости (ЕГРН)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Это важное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>
        <w:rPr>
          <w:rFonts w:ascii="Segoe UI" w:hAnsi="Segoe UI"/>
          <w:sz w:val="28"/>
          <w:szCs w:val="28"/>
        </w:rPr>
        <w:t>связи</w:t>
      </w:r>
      <w:proofErr w:type="gramEnd"/>
      <w:r>
        <w:rPr>
          <w:rFonts w:ascii="Segoe UI" w:hAnsi="Segoe UI"/>
          <w:sz w:val="28"/>
          <w:szCs w:val="28"/>
        </w:rPr>
        <w:t xml:space="preserve"> с чем она может быть использована в разумные сроки.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Обычно срок не превышает 30 дней с момента получения выписки, но повторимся,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proofErr w:type="spellStart"/>
      <w:r>
        <w:rPr>
          <w:rFonts w:ascii="Segoe UI" w:hAnsi="Segoe UI"/>
          <w:sz w:val="28"/>
          <w:szCs w:val="28"/>
        </w:rPr>
        <w:t>Росреестром</w:t>
      </w:r>
      <w:proofErr w:type="spellEnd"/>
      <w:r>
        <w:rPr>
          <w:rFonts w:ascii="Segoe UI" w:hAnsi="Segoe UI"/>
          <w:sz w:val="28"/>
          <w:szCs w:val="28"/>
        </w:rPr>
        <w:t xml:space="preserve"> разработан и запущен сервис «Личный кабинет правообладателя», который позволяет в оперативной форме запрашивать и получать сведения, с помощью сервиса на официальном сайте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, можно получить выписку непосредственно перед совершением сделки. Документ, подписанный электронной подписью эквивалентен </w:t>
      </w:r>
      <w:proofErr w:type="gramStart"/>
      <w:r>
        <w:rPr>
          <w:rFonts w:ascii="Segoe UI" w:hAnsi="Segoe UI"/>
          <w:sz w:val="28"/>
          <w:szCs w:val="28"/>
        </w:rPr>
        <w:t>подписанному</w:t>
      </w:r>
      <w:proofErr w:type="gramEnd"/>
      <w:r>
        <w:rPr>
          <w:rFonts w:ascii="Segoe UI" w:hAnsi="Segoe UI"/>
          <w:sz w:val="28"/>
          <w:szCs w:val="28"/>
        </w:rPr>
        <w:t xml:space="preserve"> собственноручно.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</w:p>
    <w:p w:rsidR="00F81562" w:rsidRDefault="00F81562" w:rsidP="00F81562">
      <w:pPr>
        <w:jc w:val="right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Пресс-служба </w:t>
      </w:r>
    </w:p>
    <w:p w:rsidR="00F81562" w:rsidRDefault="00F81562" w:rsidP="00F81562">
      <w:pPr>
        <w:jc w:val="right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Кадастровой палаты </w:t>
      </w: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по Республике Башкортостан</w:t>
      </w: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rFonts w:ascii="Segoe UI" w:eastAsia="Segoe UI" w:hAnsi="Segoe UI" w:cs="Segoe UI"/>
          <w:b/>
          <w:bCs/>
          <w:color w:val="000000"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b/>
          <w:bCs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Приложение 5</w:t>
      </w: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О площади балконов и лоджий в сведениях Единого государственного реестра недвижимости </w:t>
      </w:r>
    </w:p>
    <w:p w:rsidR="00F81562" w:rsidRDefault="00F81562" w:rsidP="00F81562">
      <w:pPr>
        <w:jc w:val="center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связи с поступающими обращениями, связанными с площадью квартир, Кадастровая палата по Республике Башкортостан разъясняет следующее. 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В результате изменения норм законодательства в области объектов капитального строительства в сведениях ЕГРН об общей площади жилого помещения наблюдаются расхождения, связанные с разным подходом к расчетам площадей. 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Согласно пункту 5 статьи 15 Жилищного кодекса Российской Федерации -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Площадь лоджий и балконов не включается в общую площадь квартиры. 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proofErr w:type="gramStart"/>
      <w:r>
        <w:rPr>
          <w:rFonts w:ascii="Segoe UI" w:hAnsi="Segoe UI"/>
          <w:sz w:val="28"/>
          <w:szCs w:val="28"/>
        </w:rPr>
        <w:t xml:space="preserve">Заинтересованное лицо в режиме реального времени может бесплатно с помощью электронного сервиса «Справочная информация по объектам недвижимости в режиме </w:t>
      </w:r>
      <w:proofErr w:type="spellStart"/>
      <w:r>
        <w:rPr>
          <w:rFonts w:ascii="Segoe UI" w:hAnsi="Segoe UI"/>
          <w:sz w:val="28"/>
          <w:szCs w:val="28"/>
        </w:rPr>
        <w:t>online</w:t>
      </w:r>
      <w:proofErr w:type="spellEnd"/>
      <w:r>
        <w:rPr>
          <w:rFonts w:ascii="Segoe UI" w:hAnsi="Segoe UI"/>
          <w:sz w:val="28"/>
          <w:szCs w:val="28"/>
        </w:rPr>
        <w:t xml:space="preserve">» на официальном сайте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https://rosreestr.ru/wps/portal/online_request, путем подачи запроса в любой удобный офис многофункционального центра или посредством портала </w:t>
      </w:r>
      <w:proofErr w:type="spellStart"/>
      <w:r>
        <w:rPr>
          <w:rFonts w:ascii="Segoe UI" w:hAnsi="Segoe UI"/>
          <w:sz w:val="28"/>
          <w:szCs w:val="28"/>
        </w:rPr>
        <w:t>Росреестра</w:t>
      </w:r>
      <w:proofErr w:type="spellEnd"/>
      <w:r>
        <w:rPr>
          <w:rFonts w:ascii="Segoe UI" w:hAnsi="Segoe UI"/>
          <w:sz w:val="28"/>
          <w:szCs w:val="28"/>
        </w:rPr>
        <w:t xml:space="preserve"> (http://rosreestr.ru) получить интересующую информацию по объектам недвижимого имущества, в том числе, проверить сведения ЕГРН</w:t>
      </w:r>
      <w:proofErr w:type="gramEnd"/>
      <w:r>
        <w:rPr>
          <w:rFonts w:ascii="Segoe UI" w:hAnsi="Segoe UI"/>
          <w:sz w:val="28"/>
          <w:szCs w:val="28"/>
        </w:rPr>
        <w:t xml:space="preserve"> в части площади. </w:t>
      </w:r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 xml:space="preserve">Кадастровой палатой по Республике Башкортостан на постоянной основе проводятся работы по уточнению и корректировке в ЕГРН описания, в том числе, жилых помещений, на соответствие действующему законодательству и исключению площади лоджий и балконов из общей площади помещения. </w:t>
      </w:r>
      <w:proofErr w:type="gramStart"/>
      <w:r>
        <w:rPr>
          <w:rFonts w:ascii="Segoe UI" w:hAnsi="Segoe UI"/>
          <w:sz w:val="28"/>
          <w:szCs w:val="28"/>
        </w:rPr>
        <w:t xml:space="preserve">При выявлении расхождений общей площади квартиры в сведениях ЕГРН с данными технической документации, правообладателю следует обратиться в Кадастровую палату по Республике Башкортостан посредством направления письменного обращения на электронный адрес </w:t>
      </w:r>
      <w:hyperlink r:id="rId13" w:history="1">
        <w:r>
          <w:rPr>
            <w:rStyle w:val="a3"/>
            <w:rFonts w:ascii="Segoe UI" w:hAnsi="Segoe UI"/>
          </w:rPr>
          <w:t>filial@02.kadastr.ru</w:t>
        </w:r>
      </w:hyperlink>
      <w:r w:rsidRPr="00F81562">
        <w:rPr>
          <w:rFonts w:ascii="Segoe UI" w:hAnsi="Segoe UI"/>
          <w:sz w:val="28"/>
          <w:szCs w:val="28"/>
        </w:rPr>
        <w:t xml:space="preserve">, </w:t>
      </w:r>
      <w:r>
        <w:rPr>
          <w:rFonts w:ascii="Segoe UI" w:hAnsi="Segoe UI"/>
          <w:sz w:val="28"/>
          <w:szCs w:val="28"/>
        </w:rPr>
        <w:t>либо направив такое обращение по почте на адрес: 450071, г. Уфа, ул.50 лет СССР, д.30/5.</w:t>
      </w:r>
      <w:proofErr w:type="gramEnd"/>
    </w:p>
    <w:p w:rsidR="00F81562" w:rsidRDefault="00F81562" w:rsidP="00F81562">
      <w:pPr>
        <w:ind w:firstLine="726"/>
        <w:jc w:val="both"/>
        <w:rPr>
          <w:rFonts w:ascii="Segoe UI" w:hAnsi="Segoe UI"/>
          <w:sz w:val="28"/>
          <w:szCs w:val="28"/>
        </w:rPr>
      </w:pPr>
    </w:p>
    <w:p w:rsidR="00F81562" w:rsidRDefault="00F81562" w:rsidP="00F81562">
      <w:pPr>
        <w:jc w:val="right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Пресс-служба </w:t>
      </w:r>
    </w:p>
    <w:p w:rsidR="00F81562" w:rsidRDefault="00F81562" w:rsidP="00F81562">
      <w:pPr>
        <w:jc w:val="right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 xml:space="preserve">Кадастровой палаты </w:t>
      </w:r>
    </w:p>
    <w:p w:rsidR="00F81562" w:rsidRDefault="00F81562" w:rsidP="00F81562">
      <w:pPr>
        <w:jc w:val="right"/>
      </w:pPr>
      <w:r>
        <w:rPr>
          <w:rFonts w:ascii="Segoe UI" w:hAnsi="Segoe UI"/>
          <w:b/>
          <w:bCs/>
          <w:sz w:val="28"/>
          <w:szCs w:val="28"/>
        </w:rPr>
        <w:t>по Республике Башкортостан</w:t>
      </w: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spacing w:line="340" w:lineRule="exact"/>
        <w:jc w:val="right"/>
        <w:rPr>
          <w:rFonts w:ascii="Segoe UI" w:hAnsi="Segoe UI"/>
          <w:b/>
          <w:bCs/>
          <w:sz w:val="28"/>
          <w:szCs w:val="28"/>
        </w:rPr>
      </w:pPr>
    </w:p>
    <w:p w:rsidR="00F81562" w:rsidRDefault="00F81562" w:rsidP="00F81562">
      <w:pPr>
        <w:autoSpaceDE w:val="0"/>
        <w:spacing w:line="340" w:lineRule="exact"/>
        <w:jc w:val="right"/>
        <w:rPr>
          <w:b/>
          <w:bCs/>
        </w:rPr>
      </w:pPr>
      <w:r>
        <w:rPr>
          <w:rFonts w:ascii="Segoe UI" w:eastAsia="Segoe UI" w:hAnsi="Segoe UI" w:cs="Segoe UI"/>
          <w:b/>
          <w:bCs/>
          <w:color w:val="000000"/>
          <w:sz w:val="28"/>
          <w:szCs w:val="28"/>
        </w:rPr>
        <w:t>Приложение 6</w:t>
      </w: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rPr>
          <w:b/>
          <w:bCs/>
        </w:rPr>
      </w:pPr>
    </w:p>
    <w:p w:rsidR="00F81562" w:rsidRDefault="00F81562" w:rsidP="00F8156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z w:val="28"/>
          <w:szCs w:val="28"/>
        </w:rPr>
        <w:t>КАДАСТРОВАЯ ПАЛАТА ГАРАНТИРУЕТ КАЧЕСТВО ГОСУДАРСТВЕННЫХ УСЛУГ</w:t>
      </w:r>
    </w:p>
    <w:p w:rsidR="00F81562" w:rsidRDefault="00F81562" w:rsidP="00F81562">
      <w:pPr>
        <w:rPr>
          <w:rFonts w:ascii="Segoe UI" w:hAnsi="Segoe UI" w:cs="Segoe UI"/>
        </w:rPr>
      </w:pP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напоминает жителям региона, что с июля 2017 года учреждение занимается дополнительными видами деятельности, оказывая гражданам информационные, справочные, аналитические и консультационные услуги. </w:t>
      </w: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Дополнительные услуги Кадастровой палаты призваны решать государственные и общественные задачи, тем самым нормализуя земельно-имущественные отношения. Консультации специалистов-практиков играют важную роль в совершении правообладателями операций с недвижимостью. К тому же, деятельность по оказанию дополнительных услуг способствует пополнению Единого государственного реестра недвижимости достоверными и актуальными сведениями.</w:t>
      </w: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Так, к примеру, при возникновении у населения области вопросов, связанных с оборотом недвижимости, учреждение оказывает консультационные услуги по составлению договоров, а также консультирует по вопросам кадастрового учета и кадастровой стоимости. За 2018 год специалистами Кадастровой палаты по Республике Башкортостан проведено 5164 консультации. Помимо этого, Кадастровая палата оказывает услуги по выдаче сертификатов электронной подписи, а также проводит платные лекции на территории Республики Башкортостан. За прошедший год учреждением было выдано более 377 сертификатов электронной подписи и проведено 6 лекций и семинаров.</w:t>
      </w: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обращает внимание, что стоимость получения дополнительных услуг в сфере недвижимости, оказываемых Кадастровой палатой, гораздо ниже, чем в большинстве организаций, а качество предоставляемых услуг подтверждено статусом государственного учреждения. </w:t>
      </w: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Более подробно о ценах за услугу и контактах можно ознакомиться на сайте https://kadastr.ru/ в разделе «Деятельность» → «Консультационные услуги». Либо можно обратиться в Кадастровую палату по Республике Башкортостан по адресу </w:t>
      </w:r>
      <w:r>
        <w:rPr>
          <w:rFonts w:ascii="Segoe UI" w:hAnsi="Segoe UI" w:cs="Segoe UI"/>
          <w:b/>
          <w:bCs/>
          <w:sz w:val="28"/>
          <w:szCs w:val="28"/>
        </w:rPr>
        <w:t>г. Уфа, ул.50 лет СССР, д. 30/5</w:t>
      </w:r>
      <w:r>
        <w:rPr>
          <w:rFonts w:ascii="Segoe UI" w:hAnsi="Segoe UI" w:cs="Segoe UI"/>
          <w:sz w:val="28"/>
          <w:szCs w:val="28"/>
        </w:rPr>
        <w:t xml:space="preserve"> либо к</w:t>
      </w:r>
      <w:r>
        <w:rPr>
          <w:rFonts w:ascii="Segoe UI" w:hAnsi="Segoe UI" w:cs="Segoe UI"/>
          <w:b/>
          <w:bCs/>
          <w:sz w:val="28"/>
          <w:szCs w:val="28"/>
        </w:rPr>
        <w:t xml:space="preserve"> специалистам Кадастровой палаты в районах Республики, либо по электронному адресу </w:t>
      </w:r>
      <w:hyperlink r:id="rId14" w:history="1">
        <w:r>
          <w:rPr>
            <w:rStyle w:val="a3"/>
            <w:rFonts w:ascii="Segoe UI" w:hAnsi="Segoe UI"/>
          </w:rPr>
          <w:t>okad@02.kadastr.ru</w:t>
        </w:r>
      </w:hyperlink>
      <w:r>
        <w:rPr>
          <w:rStyle w:val="a3"/>
          <w:rFonts w:ascii="Segoe UI" w:eastAsia="Arial" w:hAnsi="Segoe UI" w:cs="Segoe UI"/>
          <w:b/>
          <w:bCs/>
          <w:sz w:val="28"/>
          <w:szCs w:val="28"/>
          <w:u w:val="none"/>
        </w:rPr>
        <w:t>, тел. (347)222-20-33.</w:t>
      </w:r>
    </w:p>
    <w:p w:rsidR="00F81562" w:rsidRDefault="00F81562" w:rsidP="00F81562">
      <w:pPr>
        <w:ind w:firstLine="726"/>
        <w:jc w:val="both"/>
        <w:rPr>
          <w:rFonts w:ascii="Segoe UI" w:hAnsi="Segoe UI" w:cs="Segoe UI"/>
          <w:sz w:val="28"/>
          <w:szCs w:val="28"/>
        </w:rPr>
      </w:pPr>
    </w:p>
    <w:p w:rsidR="00F81562" w:rsidRDefault="00F81562" w:rsidP="00F81562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Пресс-служба </w:t>
      </w:r>
    </w:p>
    <w:p w:rsidR="00F81562" w:rsidRDefault="00F81562" w:rsidP="00F81562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Кадастровой палаты </w:t>
      </w:r>
    </w:p>
    <w:p w:rsidR="00F81562" w:rsidRDefault="00F81562" w:rsidP="00F81562">
      <w:pPr>
        <w:spacing w:line="340" w:lineRule="exact"/>
        <w:jc w:val="right"/>
        <w:rPr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по Республике Башкортостан</w:t>
      </w:r>
    </w:p>
    <w:sectPr w:rsidR="00F81562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4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5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6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abstractNum w:abstractNumId="7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F2"/>
    <w:rsid w:val="000A1D27"/>
    <w:rsid w:val="0020362C"/>
    <w:rsid w:val="00417A0D"/>
    <w:rsid w:val="00605CE8"/>
    <w:rsid w:val="00762B08"/>
    <w:rsid w:val="008A0DF2"/>
    <w:rsid w:val="009224F6"/>
    <w:rsid w:val="009B1FD1"/>
    <w:rsid w:val="00B67182"/>
    <w:rsid w:val="00C70D3B"/>
    <w:rsid w:val="00CE4343"/>
    <w:rsid w:val="00D30D0B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basedOn w:val="a"/>
    <w:rsid w:val="009B1FD1"/>
    <w:pPr>
      <w:spacing w:after="160" w:line="259" w:lineRule="auto"/>
      <w:ind w:left="720"/>
    </w:pPr>
    <w:rPr>
      <w:rFonts w:ascii="Calibri" w:eastAsia="Times New Roman" w:hAnsi="Calibri"/>
      <w:lang w:eastAsia="en-US"/>
    </w:rPr>
  </w:style>
  <w:style w:type="paragraph" w:styleId="a4">
    <w:name w:val="Normal (Web)"/>
    <w:basedOn w:val="a"/>
    <w:semiHidden/>
    <w:rsid w:val="009B1F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4F6"/>
    <w:pPr>
      <w:spacing w:after="200" w:line="276" w:lineRule="auto"/>
      <w:ind w:left="708"/>
    </w:pPr>
    <w:rPr>
      <w:rFonts w:ascii="Calibri" w:eastAsia="Calibri" w:hAnsi="Calibri"/>
      <w:lang w:eastAsia="en-US"/>
    </w:rPr>
  </w:style>
  <w:style w:type="paragraph" w:styleId="a8">
    <w:name w:val="Body Text"/>
    <w:basedOn w:val="a"/>
    <w:link w:val="a9"/>
    <w:semiHidden/>
    <w:unhideWhenUsed/>
    <w:rsid w:val="000A1D27"/>
    <w:pPr>
      <w:suppressAutoHyphens/>
    </w:pPr>
    <w:rPr>
      <w:rFonts w:eastAsia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A1D27"/>
    <w:rPr>
      <w:rFonts w:eastAsia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0A1D27"/>
    <w:pPr>
      <w:spacing w:after="120" w:line="480" w:lineRule="auto"/>
    </w:pPr>
    <w:rPr>
      <w:rFonts w:eastAsia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0A1D27"/>
    <w:rPr>
      <w:rFonts w:eastAsia="Times New Roman"/>
      <w:sz w:val="30"/>
      <w:szCs w:val="20"/>
    </w:rPr>
  </w:style>
  <w:style w:type="paragraph" w:customStyle="1" w:styleId="21">
    <w:name w:val="Основной текст 21"/>
    <w:basedOn w:val="a"/>
    <w:rsid w:val="000A1D27"/>
    <w:pPr>
      <w:suppressAutoHyphens/>
      <w:spacing w:after="120" w:line="480" w:lineRule="auto"/>
    </w:pPr>
    <w:rPr>
      <w:rFonts w:eastAsia="Times New Roman"/>
      <w:sz w:val="30"/>
      <w:szCs w:val="20"/>
      <w:lang w:eastAsia="ar-SA"/>
    </w:rPr>
  </w:style>
  <w:style w:type="paragraph" w:customStyle="1" w:styleId="ConsPlusTitle">
    <w:name w:val="ConsPlusTitle"/>
    <w:rsid w:val="000A1D27"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mailto:filial@02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so-admin.kadastr.ru/users/sign_up?service=https://webinar.kadastr.ru/" TargetMode="External"/><Relationship Id="rId12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11" Type="http://schemas.openxmlformats.org/officeDocument/2006/relationships/hyperlink" Target="http://www.kada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general/planned?pages=1" TargetMode="External"/><Relationship Id="rId14" Type="http://schemas.openxmlformats.org/officeDocument/2006/relationships/hyperlink" Target="mailto:okad@0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17</cp:revision>
  <dcterms:created xsi:type="dcterms:W3CDTF">2018-06-26T13:34:00Z</dcterms:created>
  <dcterms:modified xsi:type="dcterms:W3CDTF">2019-03-14T11:04:00Z</dcterms:modified>
</cp:coreProperties>
</file>